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560CF7" w:rsidRPr="008A4B0D" w:rsidTr="00CA5C3F">
        <w:tc>
          <w:tcPr>
            <w:tcW w:w="3070" w:type="dxa"/>
          </w:tcPr>
          <w:p w:rsidR="00560CF7" w:rsidRPr="008A4B0D" w:rsidRDefault="00560CF7" w:rsidP="00CA5C3F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560CF7" w:rsidRPr="008A4B0D" w:rsidRDefault="00560CF7" w:rsidP="00CA5C3F">
            <w:pPr>
              <w:jc w:val="center"/>
              <w:rPr>
                <w:sz w:val="20"/>
                <w:szCs w:val="20"/>
              </w:rPr>
            </w:pPr>
            <w:r w:rsidRPr="008A4B0D">
              <w:rPr>
                <w:sz w:val="20"/>
                <w:szCs w:val="20"/>
              </w:rPr>
              <w:t xml:space="preserve">         </w:t>
            </w:r>
            <w:r w:rsidRPr="00D340CA">
              <w:rPr>
                <w:noProof/>
                <w:sz w:val="20"/>
                <w:szCs w:val="20"/>
              </w:rPr>
              <w:drawing>
                <wp:inline distT="0" distB="0" distL="0" distR="0">
                  <wp:extent cx="865533" cy="998692"/>
                  <wp:effectExtent l="19050" t="0" r="0" b="0"/>
                  <wp:docPr id="1" name="Рисунок 1" descr="C:\Users\Evgeniy\Downloads\kznn-m-c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vgeniy\Downloads\kznn-m-c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33" cy="99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560CF7" w:rsidRPr="008A4B0D" w:rsidRDefault="00560CF7" w:rsidP="00CA5C3F">
            <w:pPr>
              <w:jc w:val="right"/>
              <w:rPr>
                <w:sz w:val="20"/>
                <w:szCs w:val="20"/>
              </w:rPr>
            </w:pPr>
          </w:p>
        </w:tc>
      </w:tr>
    </w:tbl>
    <w:p w:rsidR="00560CF7" w:rsidRPr="00CA562C" w:rsidRDefault="00560CF7" w:rsidP="00560C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РЕСПУБЛИКАНЫҢ</w:t>
      </w:r>
    </w:p>
    <w:p w:rsidR="00560CF7" w:rsidRPr="00CA562C" w:rsidRDefault="00560CF7" w:rsidP="00560C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АРЫЫН-ХЕМЧИК КОЖУУН ЧАГЫРГАЗЫНЫҢ</w:t>
      </w:r>
    </w:p>
    <w:p w:rsidR="00560CF7" w:rsidRPr="00CA562C" w:rsidRDefault="00560CF7" w:rsidP="00560C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ДОКТААЛЫ</w:t>
      </w:r>
    </w:p>
    <w:p w:rsidR="00560CF7" w:rsidRPr="00CA562C" w:rsidRDefault="00560CF7" w:rsidP="00560C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0CF7" w:rsidRPr="00CA562C" w:rsidRDefault="00560CF7" w:rsidP="00560C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0CF7" w:rsidRPr="00CA562C" w:rsidRDefault="00560CF7" w:rsidP="00560C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АДМИНИСТРАЦИИ БАРУН-ХЕМЧИКСКОГО  КОЖУУНА РЕСПУБЛИКИ ТЫВА</w:t>
      </w:r>
    </w:p>
    <w:p w:rsidR="00560CF7" w:rsidRPr="00BA2B91" w:rsidRDefault="00560CF7" w:rsidP="00560C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0CF7" w:rsidRPr="009E78A3" w:rsidRDefault="00560CF7" w:rsidP="00560C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8D2BBE">
        <w:rPr>
          <w:rFonts w:ascii="Times New Roman" w:hAnsi="Times New Roman" w:cs="Times New Roman"/>
        </w:rPr>
        <w:t xml:space="preserve"> «03» августа 2016 г.  № 500</w:t>
      </w:r>
    </w:p>
    <w:p w:rsidR="00560CF7" w:rsidRPr="009E78A3" w:rsidRDefault="00560CF7" w:rsidP="00560C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8A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E78A3">
        <w:rPr>
          <w:rFonts w:ascii="Times New Roman" w:hAnsi="Times New Roman" w:cs="Times New Roman"/>
        </w:rPr>
        <w:t>Кызыл-Мажалык</w:t>
      </w:r>
    </w:p>
    <w:p w:rsidR="00560CF7" w:rsidRPr="00BA2B91" w:rsidRDefault="00560CF7" w:rsidP="00560CF7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60CF7" w:rsidRPr="00BA2B91" w:rsidRDefault="00560CF7" w:rsidP="00560CF7">
      <w:pPr>
        <w:pStyle w:val="a7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Pr="00BA2B91">
        <w:rPr>
          <w:b/>
          <w:sz w:val="28"/>
          <w:szCs w:val="28"/>
        </w:rPr>
        <w:t>административного регламента</w:t>
      </w:r>
    </w:p>
    <w:p w:rsidR="00560CF7" w:rsidRDefault="00560CF7" w:rsidP="00560C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9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B72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0CF7">
        <w:rPr>
          <w:rFonts w:ascii="Times New Roman" w:hAnsi="Times New Roman" w:cs="Times New Roman"/>
          <w:b/>
          <w:sz w:val="28"/>
          <w:szCs w:val="28"/>
        </w:rPr>
        <w:t xml:space="preserve">роведение  официальных физкультурно-оздоровительных и спортивных мероприятий на территории образования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«Барун-Хемчикский кожуун» Республики Тыва</w:t>
      </w:r>
      <w:r w:rsidRPr="00BA2B91">
        <w:rPr>
          <w:rFonts w:ascii="Times New Roman" w:hAnsi="Times New Roman" w:cs="Times New Roman"/>
          <w:b/>
          <w:sz w:val="28"/>
          <w:szCs w:val="28"/>
        </w:rPr>
        <w:t>»</w:t>
      </w:r>
    </w:p>
    <w:p w:rsidR="00560CF7" w:rsidRPr="00BA2B91" w:rsidRDefault="00560CF7" w:rsidP="00560C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F7" w:rsidRPr="001C5355" w:rsidRDefault="00560CF7" w:rsidP="00560CF7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57">
        <w:rPr>
          <w:rFonts w:ascii="Times New Roman" w:hAnsi="Times New Roman" w:cs="Times New Roman"/>
          <w:sz w:val="26"/>
          <w:szCs w:val="26"/>
        </w:rPr>
        <w:tab/>
      </w:r>
      <w:r w:rsidRPr="001C5355"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27.07.2010г. №210-ФЗ «Об организации предоставления государственных и муниципальных услуг», Постановления администрации Барун-Хемчикского кожууна от 19.02.2013г. №83 «Об утверждении перечня муниципальных услуг (функций) муниципального района «Барун-Хемчикский кожуун Республики Тыва» для размещения в Федеральном реестре государственных 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услуг (функций)», </w:t>
      </w:r>
      <w:r w:rsidRPr="001C5355">
        <w:rPr>
          <w:rFonts w:ascii="Times New Roman" w:hAnsi="Times New Roman" w:cs="Times New Roman"/>
          <w:sz w:val="28"/>
          <w:szCs w:val="28"/>
        </w:rPr>
        <w:t xml:space="preserve">администрация Барун-Хемчикского кожууна </w:t>
      </w:r>
      <w:r w:rsidRPr="001C535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0CF7" w:rsidRPr="001C5355" w:rsidRDefault="00560CF7" w:rsidP="00560CF7">
      <w:pPr>
        <w:pStyle w:val="HTML0"/>
        <w:ind w:firstLine="709"/>
        <w:jc w:val="both"/>
        <w:rPr>
          <w:sz w:val="28"/>
          <w:szCs w:val="28"/>
        </w:rPr>
      </w:pPr>
    </w:p>
    <w:p w:rsidR="00560CF7" w:rsidRPr="00FB7234" w:rsidRDefault="00560CF7" w:rsidP="00560CF7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B7234">
        <w:rPr>
          <w:sz w:val="28"/>
          <w:szCs w:val="28"/>
        </w:rPr>
        <w:t xml:space="preserve">прилагаемый административный регламент предоставления муниципальной услуги </w:t>
      </w:r>
      <w:r w:rsidRPr="00FB7234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</w:t>
      </w:r>
      <w:r w:rsidRPr="00560CF7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560CF7">
        <w:rPr>
          <w:sz w:val="28"/>
          <w:szCs w:val="28"/>
        </w:rPr>
        <w:t xml:space="preserve">  официальных физкультурно-оздоровительных и спортивных мероприятий на территории образования</w:t>
      </w:r>
      <w:r w:rsidRPr="00FB7234">
        <w:rPr>
          <w:sz w:val="28"/>
          <w:szCs w:val="28"/>
        </w:rPr>
        <w:t>».</w:t>
      </w:r>
    </w:p>
    <w:p w:rsidR="00560CF7" w:rsidRPr="002A6F28" w:rsidRDefault="00560CF7" w:rsidP="00560CF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722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Барун-Хемчикского кожууна </w:t>
      </w:r>
      <w:r w:rsidRPr="008D2B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D2B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2BBE">
        <w:rPr>
          <w:rFonts w:ascii="Times New Roman" w:hAnsi="Times New Roman" w:cs="Times New Roman"/>
          <w:sz w:val="28"/>
          <w:szCs w:val="28"/>
          <w:lang w:val="en-US"/>
        </w:rPr>
        <w:t>barum</w:t>
      </w:r>
      <w:proofErr w:type="spellEnd"/>
      <w:r w:rsidR="008D2BBE" w:rsidRPr="008D2B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2BBE">
        <w:rPr>
          <w:rFonts w:ascii="Times New Roman" w:hAnsi="Times New Roman" w:cs="Times New Roman"/>
          <w:sz w:val="28"/>
          <w:szCs w:val="28"/>
          <w:lang w:val="en-US"/>
        </w:rPr>
        <w:t>rtyva</w:t>
      </w:r>
      <w:proofErr w:type="spellEnd"/>
      <w:r w:rsidR="008D2BBE" w:rsidRPr="008D2B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2B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0CF7" w:rsidRPr="00CA562C" w:rsidRDefault="00560CF7" w:rsidP="00560CF7">
      <w:pPr>
        <w:numPr>
          <w:ilvl w:val="0"/>
          <w:numId w:val="6"/>
        </w:numPr>
        <w:spacing w:after="0" w:line="240" w:lineRule="auto"/>
        <w:ind w:hanging="357"/>
        <w:jc w:val="both"/>
        <w:rPr>
          <w:sz w:val="28"/>
          <w:szCs w:val="28"/>
        </w:rPr>
      </w:pPr>
      <w:proofErr w:type="gramStart"/>
      <w:r w:rsidRPr="00CA56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 специалиста по спорту</w:t>
      </w:r>
      <w:r w:rsidRPr="00CA562C">
        <w:rPr>
          <w:rFonts w:ascii="Times New Roman" w:hAnsi="Times New Roman" w:cs="Times New Roman"/>
          <w:sz w:val="28"/>
          <w:szCs w:val="28"/>
        </w:rPr>
        <w:t xml:space="preserve"> администрации Барун-Хемчикского кожууна.</w:t>
      </w:r>
    </w:p>
    <w:p w:rsidR="00560CF7" w:rsidRDefault="00560CF7" w:rsidP="00560CF7">
      <w:pPr>
        <w:pStyle w:val="a7"/>
        <w:spacing w:before="0" w:beforeAutospacing="0" w:after="0" w:afterAutospacing="0"/>
        <w:ind w:left="720" w:right="-1"/>
        <w:rPr>
          <w:sz w:val="28"/>
          <w:szCs w:val="28"/>
        </w:rPr>
      </w:pPr>
    </w:p>
    <w:p w:rsidR="00560CF7" w:rsidRDefault="00560CF7" w:rsidP="00560CF7">
      <w:pPr>
        <w:pStyle w:val="a7"/>
        <w:spacing w:before="0" w:beforeAutospacing="0" w:after="0" w:afterAutospacing="0"/>
        <w:ind w:left="720" w:right="-1"/>
        <w:rPr>
          <w:sz w:val="28"/>
          <w:szCs w:val="28"/>
        </w:rPr>
      </w:pPr>
    </w:p>
    <w:p w:rsidR="00560CF7" w:rsidRPr="0036722C" w:rsidRDefault="00560CF7" w:rsidP="00560CF7">
      <w:pPr>
        <w:pStyle w:val="a7"/>
        <w:spacing w:before="0" w:beforeAutospacing="0" w:after="0" w:afterAutospacing="0"/>
        <w:ind w:left="720" w:right="-1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36722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6722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</w:p>
    <w:p w:rsidR="00560CF7" w:rsidRDefault="00560CF7" w:rsidP="00560CF7">
      <w:pPr>
        <w:pStyle w:val="a7"/>
        <w:spacing w:before="0" w:beforeAutospacing="0" w:after="0" w:afterAutospacing="0"/>
        <w:ind w:left="720" w:right="-1"/>
        <w:rPr>
          <w:sz w:val="28"/>
          <w:szCs w:val="28"/>
        </w:rPr>
      </w:pPr>
      <w:r w:rsidRPr="0036722C">
        <w:rPr>
          <w:sz w:val="28"/>
          <w:szCs w:val="28"/>
        </w:rPr>
        <w:t xml:space="preserve">Барун-Хемчикского кожууна     </w:t>
      </w:r>
      <w:r>
        <w:rPr>
          <w:sz w:val="28"/>
          <w:szCs w:val="28"/>
        </w:rPr>
        <w:t xml:space="preserve">                               </w:t>
      </w:r>
      <w:r w:rsidRPr="003672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А.О. Сарыглар</w:t>
      </w:r>
    </w:p>
    <w:p w:rsidR="00560CF7" w:rsidRDefault="00560CF7" w:rsidP="00560CF7">
      <w:pPr>
        <w:pStyle w:val="a7"/>
        <w:spacing w:before="0" w:beforeAutospacing="0" w:after="0" w:afterAutospacing="0"/>
        <w:ind w:left="720" w:right="-1"/>
        <w:rPr>
          <w:sz w:val="28"/>
          <w:szCs w:val="28"/>
        </w:rPr>
      </w:pPr>
    </w:p>
    <w:p w:rsidR="00560CF7" w:rsidRDefault="00560CF7" w:rsidP="00560CF7">
      <w:pPr>
        <w:pStyle w:val="a7"/>
        <w:spacing w:before="0" w:beforeAutospacing="0" w:after="0" w:afterAutospacing="0"/>
        <w:ind w:left="720" w:right="-1"/>
        <w:rPr>
          <w:sz w:val="28"/>
          <w:szCs w:val="28"/>
        </w:rPr>
      </w:pPr>
    </w:p>
    <w:p w:rsidR="00560CF7" w:rsidRDefault="00560CF7" w:rsidP="00560CF7">
      <w:pPr>
        <w:pStyle w:val="a7"/>
        <w:spacing w:before="0" w:beforeAutospacing="0" w:after="0" w:afterAutospacing="0"/>
        <w:ind w:left="720" w:right="-1"/>
        <w:rPr>
          <w:sz w:val="28"/>
          <w:szCs w:val="28"/>
        </w:rPr>
      </w:pPr>
    </w:p>
    <w:p w:rsidR="00560CF7" w:rsidRPr="0036722C" w:rsidRDefault="00560CF7" w:rsidP="00560CF7">
      <w:pPr>
        <w:pStyle w:val="a7"/>
        <w:spacing w:before="0" w:beforeAutospacing="0" w:after="0" w:afterAutospacing="0"/>
        <w:ind w:left="720" w:right="-1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66"/>
        <w:tblOverlap w:val="never"/>
        <w:tblW w:w="4453" w:type="dxa"/>
        <w:tblLook w:val="01E0"/>
      </w:tblPr>
      <w:tblGrid>
        <w:gridCol w:w="4453"/>
      </w:tblGrid>
      <w:tr w:rsidR="00560CF7" w:rsidRPr="00CB39AF" w:rsidTr="00560CF7">
        <w:trPr>
          <w:trHeight w:val="696"/>
        </w:trPr>
        <w:tc>
          <w:tcPr>
            <w:tcW w:w="4453" w:type="dxa"/>
          </w:tcPr>
          <w:p w:rsidR="00560CF7" w:rsidRPr="00CB39AF" w:rsidRDefault="00560CF7" w:rsidP="00560CF7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bookmarkStart w:id="0" w:name="_GoBack"/>
            <w:proofErr w:type="gramStart"/>
            <w:r w:rsidRPr="00CB39AF">
              <w:rPr>
                <w:b w:val="0"/>
                <w:sz w:val="24"/>
                <w:szCs w:val="24"/>
              </w:rPr>
              <w:lastRenderedPageBreak/>
              <w:t>Утвержден</w:t>
            </w:r>
            <w:proofErr w:type="gramEnd"/>
            <w:r w:rsidRPr="00CB39AF">
              <w:rPr>
                <w:b w:val="0"/>
                <w:sz w:val="24"/>
                <w:szCs w:val="24"/>
              </w:rPr>
              <w:t xml:space="preserve"> постановлением </w:t>
            </w:r>
          </w:p>
          <w:p w:rsidR="00560CF7" w:rsidRPr="00CB39AF" w:rsidRDefault="00560CF7" w:rsidP="00560CF7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CB39AF">
              <w:rPr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b w:val="0"/>
                <w:sz w:val="24"/>
                <w:szCs w:val="24"/>
              </w:rPr>
              <w:t>Барун-Хемчикского</w:t>
            </w:r>
            <w:r w:rsidRPr="00CB39AF">
              <w:rPr>
                <w:b w:val="0"/>
                <w:sz w:val="24"/>
                <w:szCs w:val="24"/>
              </w:rPr>
              <w:t xml:space="preserve"> кожууна </w:t>
            </w:r>
          </w:p>
          <w:bookmarkEnd w:id="0"/>
          <w:p w:rsidR="008D2BBE" w:rsidRPr="009E78A3" w:rsidRDefault="008D2BBE" w:rsidP="008D2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«03» августа 2016 г.  № 500</w:t>
            </w:r>
          </w:p>
          <w:p w:rsidR="00560CF7" w:rsidRPr="00CB39AF" w:rsidRDefault="00560CF7" w:rsidP="00560CF7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560CF7" w:rsidRDefault="00560CF7" w:rsidP="00CB39A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0CF7" w:rsidRDefault="00560CF7" w:rsidP="00CB39A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0CF7" w:rsidRDefault="00560CF7" w:rsidP="00CB39A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0CF7" w:rsidRDefault="00560CF7" w:rsidP="00CB39A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560CF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EB3033" w:rsidRDefault="00EB3033" w:rsidP="00CB39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</w:t>
      </w:r>
      <w:r w:rsidR="00BF4E11">
        <w:rPr>
          <w:rFonts w:ascii="Times New Roman" w:hAnsi="Times New Roman" w:cs="Times New Roman"/>
          <w:b/>
          <w:sz w:val="24"/>
          <w:szCs w:val="24"/>
        </w:rPr>
        <w:t>проведению  официальных физкультурно-оздоровительных и спортивных мероприятий на территории образования»</w:t>
      </w:r>
    </w:p>
    <w:p w:rsidR="00BF4E11" w:rsidRPr="00CB39AF" w:rsidRDefault="00BF4E11" w:rsidP="00CB39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B3033" w:rsidRPr="00CB39AF" w:rsidRDefault="00EB3033" w:rsidP="00CB39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Предмет регулирования</w:t>
      </w:r>
    </w:p>
    <w:p w:rsidR="00EB3033" w:rsidRPr="00CB39AF" w:rsidRDefault="00EB3033" w:rsidP="00CB39AF">
      <w:pPr>
        <w:pStyle w:val="1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CB39AF">
        <w:rPr>
          <w:rFonts w:ascii="Times New Roman" w:hAnsi="Times New Roman"/>
          <w:sz w:val="24"/>
          <w:szCs w:val="24"/>
        </w:rPr>
        <w:t>Административный регламент предоставления</w:t>
      </w:r>
      <w:r w:rsidRPr="00CB39AF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  <w:r w:rsidRPr="00CB39AF">
        <w:rPr>
          <w:rFonts w:ascii="Times New Roman" w:hAnsi="Times New Roman"/>
          <w:sz w:val="24"/>
          <w:szCs w:val="24"/>
        </w:rPr>
        <w:t xml:space="preserve">администрации </w:t>
      </w:r>
      <w:r w:rsidR="00560CF7" w:rsidRPr="00560CF7">
        <w:rPr>
          <w:rFonts w:ascii="Times New Roman" w:hAnsi="Times New Roman"/>
          <w:sz w:val="24"/>
          <w:szCs w:val="24"/>
        </w:rPr>
        <w:t xml:space="preserve">Барун-Хемчикского </w:t>
      </w:r>
      <w:r w:rsidRPr="00CB39AF">
        <w:rPr>
          <w:rFonts w:ascii="Times New Roman" w:hAnsi="Times New Roman"/>
          <w:sz w:val="24"/>
          <w:szCs w:val="24"/>
        </w:rPr>
        <w:t>кожууна Республики Тыва государственной услуги по</w:t>
      </w:r>
      <w:r w:rsidR="00BF4E11">
        <w:rPr>
          <w:rFonts w:ascii="Times New Roman" w:hAnsi="Times New Roman"/>
          <w:sz w:val="24"/>
          <w:szCs w:val="24"/>
        </w:rPr>
        <w:t xml:space="preserve"> </w:t>
      </w:r>
      <w:r w:rsidR="00BF4E11" w:rsidRPr="00BF4E11">
        <w:rPr>
          <w:rFonts w:ascii="Times New Roman" w:hAnsi="Times New Roman"/>
          <w:sz w:val="24"/>
          <w:szCs w:val="24"/>
        </w:rPr>
        <w:t xml:space="preserve"> проведению  официальных физкультурно-оздоровительных и спортивных мероприятий на территории образования</w:t>
      </w:r>
      <w:r w:rsidRPr="00CB39AF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и доступности результатов предоставления государственной услуги по организации и проведению муниципальных и межмуниципальных официальных физкультурных мероприятий и спортивных мероприятий (далее - государственная услуга), создания комфортных условий для участников отношений, возникающих при</w:t>
      </w:r>
      <w:proofErr w:type="gramEnd"/>
      <w:r w:rsidRPr="00CB39AF">
        <w:rPr>
          <w:rFonts w:ascii="Times New Roman" w:hAnsi="Times New Roman"/>
          <w:sz w:val="24"/>
          <w:szCs w:val="24"/>
        </w:rPr>
        <w:t xml:space="preserve"> реализации государственной услуги, и определяет сроки и последовательность действий (административных процедур) при предоставлении государственной услуги.</w:t>
      </w:r>
    </w:p>
    <w:p w:rsidR="00EB3033" w:rsidRPr="00CB39AF" w:rsidRDefault="00EB3033" w:rsidP="00CB39A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B3033" w:rsidRPr="00CB39AF" w:rsidRDefault="00EB3033" w:rsidP="00CB39AF">
      <w:pPr>
        <w:pStyle w:val="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B39AF">
        <w:rPr>
          <w:rFonts w:ascii="Times New Roman" w:hAnsi="Times New Roman"/>
          <w:sz w:val="24"/>
          <w:szCs w:val="24"/>
        </w:rPr>
        <w:t>Заявителями на получение муниципальной государственной услуги являются: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подготовки, спортивные федерации;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образовательные учреждения, осуществляющие деятельность в области физической культуры и спорта;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оборонные спортивно-технические организации;</w:t>
      </w:r>
    </w:p>
    <w:p w:rsidR="00EB3033" w:rsidRPr="00CB39AF" w:rsidRDefault="00EB3033" w:rsidP="00CB39AF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муниципальной государственной услуги</w:t>
      </w:r>
    </w:p>
    <w:p w:rsidR="00EB3033" w:rsidRPr="00CB39AF" w:rsidRDefault="00EB3033" w:rsidP="00CB39AF">
      <w:pPr>
        <w:pStyle w:val="1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CB39AF">
        <w:rPr>
          <w:rFonts w:ascii="Times New Roman" w:hAnsi="Times New Roman"/>
          <w:sz w:val="24"/>
          <w:szCs w:val="24"/>
        </w:rPr>
        <w:t xml:space="preserve">Место нахождения и почтовый адрес администрации </w:t>
      </w:r>
      <w:r w:rsidR="00560CF7" w:rsidRPr="00560CF7">
        <w:rPr>
          <w:rFonts w:ascii="Times New Roman" w:hAnsi="Times New Roman"/>
          <w:sz w:val="24"/>
          <w:szCs w:val="24"/>
        </w:rPr>
        <w:t xml:space="preserve">Барун-Хемчикского </w:t>
      </w:r>
      <w:r w:rsidR="00560CF7">
        <w:rPr>
          <w:rFonts w:ascii="Times New Roman" w:hAnsi="Times New Roman"/>
          <w:sz w:val="24"/>
          <w:szCs w:val="24"/>
        </w:rPr>
        <w:t>кожууна Республики Тыва: 668040</w:t>
      </w:r>
      <w:r w:rsidRPr="00CB39AF">
        <w:rPr>
          <w:rFonts w:ascii="Times New Roman" w:hAnsi="Times New Roman"/>
          <w:sz w:val="24"/>
          <w:szCs w:val="24"/>
        </w:rPr>
        <w:t xml:space="preserve">, Республика Тыва, с. </w:t>
      </w:r>
      <w:r w:rsidR="00560CF7">
        <w:rPr>
          <w:rFonts w:ascii="Times New Roman" w:hAnsi="Times New Roman"/>
          <w:sz w:val="24"/>
          <w:szCs w:val="24"/>
        </w:rPr>
        <w:t>Кызыл-Мажалык</w:t>
      </w:r>
      <w:r w:rsidRPr="00CB39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9AF">
        <w:rPr>
          <w:rFonts w:ascii="Times New Roman" w:hAnsi="Times New Roman"/>
          <w:sz w:val="24"/>
          <w:szCs w:val="24"/>
        </w:rPr>
        <w:t>ул</w:t>
      </w:r>
      <w:proofErr w:type="gramStart"/>
      <w:r w:rsidRPr="00CB39AF">
        <w:rPr>
          <w:rFonts w:ascii="Times New Roman" w:hAnsi="Times New Roman"/>
          <w:sz w:val="24"/>
          <w:szCs w:val="24"/>
        </w:rPr>
        <w:t>.</w:t>
      </w:r>
      <w:r w:rsidR="00560CF7">
        <w:rPr>
          <w:rFonts w:ascii="Times New Roman" w:hAnsi="Times New Roman"/>
          <w:sz w:val="24"/>
          <w:szCs w:val="24"/>
        </w:rPr>
        <w:t>Ч</w:t>
      </w:r>
      <w:proofErr w:type="gramEnd"/>
      <w:r w:rsidR="00560CF7">
        <w:rPr>
          <w:rFonts w:ascii="Times New Roman" w:hAnsi="Times New Roman"/>
          <w:sz w:val="24"/>
          <w:szCs w:val="24"/>
        </w:rPr>
        <w:t>адамба</w:t>
      </w:r>
      <w:proofErr w:type="spellEnd"/>
      <w:r w:rsidRPr="00CB39AF">
        <w:rPr>
          <w:rFonts w:ascii="Times New Roman" w:hAnsi="Times New Roman"/>
          <w:sz w:val="24"/>
          <w:szCs w:val="24"/>
        </w:rPr>
        <w:t>,  д.</w:t>
      </w:r>
      <w:r w:rsidR="00560CF7">
        <w:rPr>
          <w:rFonts w:ascii="Times New Roman" w:hAnsi="Times New Roman"/>
          <w:sz w:val="24"/>
          <w:szCs w:val="24"/>
        </w:rPr>
        <w:t>20</w:t>
      </w:r>
      <w:r w:rsidRPr="00CB39AF">
        <w:rPr>
          <w:rFonts w:ascii="Times New Roman" w:hAnsi="Times New Roman"/>
          <w:sz w:val="24"/>
          <w:szCs w:val="24"/>
        </w:rPr>
        <w:t>.</w:t>
      </w:r>
    </w:p>
    <w:p w:rsidR="00EB3033" w:rsidRPr="00560CF7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="00560CF7" w:rsidRPr="006E18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economika</w:t>
        </w:r>
        <w:r w:rsidR="00560CF7" w:rsidRPr="00560CF7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560CF7" w:rsidRPr="006E18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barum</w:t>
        </w:r>
        <w:r w:rsidR="00560CF7" w:rsidRPr="00560CF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60CF7" w:rsidRPr="006E18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60CF7" w:rsidRPr="00560C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60CF7" w:rsidRPr="006E18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3033" w:rsidRPr="008D2BBE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 w:rsidR="00560CF7" w:rsidRPr="008D2BB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60CF7" w:rsidRPr="008D2B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D2BBE">
        <w:rPr>
          <w:rFonts w:ascii="Times New Roman" w:hAnsi="Times New Roman" w:cs="Times New Roman"/>
          <w:sz w:val="24"/>
          <w:szCs w:val="24"/>
          <w:lang w:val="en-US"/>
        </w:rPr>
        <w:t>barum</w:t>
      </w:r>
      <w:proofErr w:type="spellEnd"/>
      <w:r w:rsidR="008D2BBE" w:rsidRPr="008D2B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D2BBE">
        <w:rPr>
          <w:rFonts w:ascii="Times New Roman" w:hAnsi="Times New Roman" w:cs="Times New Roman"/>
          <w:sz w:val="24"/>
          <w:szCs w:val="24"/>
          <w:lang w:val="en-US"/>
        </w:rPr>
        <w:t>rtyva</w:t>
      </w:r>
      <w:proofErr w:type="spellEnd"/>
      <w:r w:rsidR="008D2BBE" w:rsidRPr="008D2B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D2B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Телефоны для справок: 8 (39445) 2-146, 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- понедельник - пятница: с </w:t>
      </w:r>
      <w:r w:rsidR="00DF39FE">
        <w:rPr>
          <w:rFonts w:ascii="Times New Roman" w:hAnsi="Times New Roman" w:cs="Times New Roman"/>
          <w:sz w:val="24"/>
          <w:szCs w:val="24"/>
        </w:rPr>
        <w:t>9</w:t>
      </w:r>
      <w:r w:rsidRPr="00CB39AF">
        <w:rPr>
          <w:rFonts w:ascii="Times New Roman" w:hAnsi="Times New Roman" w:cs="Times New Roman"/>
          <w:sz w:val="24"/>
          <w:szCs w:val="24"/>
        </w:rPr>
        <w:t>.00 до 1</w:t>
      </w:r>
      <w:r w:rsidR="00DF39FE">
        <w:rPr>
          <w:rFonts w:ascii="Times New Roman" w:hAnsi="Times New Roman" w:cs="Times New Roman"/>
          <w:sz w:val="24"/>
          <w:szCs w:val="24"/>
        </w:rPr>
        <w:t>8</w:t>
      </w:r>
      <w:r w:rsidRPr="00CB39AF">
        <w:rPr>
          <w:rFonts w:ascii="Times New Roman" w:hAnsi="Times New Roman" w:cs="Times New Roman"/>
          <w:sz w:val="24"/>
          <w:szCs w:val="24"/>
        </w:rPr>
        <w:t>.00, перерыв с 1</w:t>
      </w:r>
      <w:r w:rsidR="00DF39FE">
        <w:rPr>
          <w:rFonts w:ascii="Times New Roman" w:hAnsi="Times New Roman" w:cs="Times New Roman"/>
          <w:sz w:val="24"/>
          <w:szCs w:val="24"/>
        </w:rPr>
        <w:t>3</w:t>
      </w:r>
      <w:r w:rsidRPr="00CB39AF">
        <w:rPr>
          <w:rFonts w:ascii="Times New Roman" w:hAnsi="Times New Roman" w:cs="Times New Roman"/>
          <w:sz w:val="24"/>
          <w:szCs w:val="24"/>
        </w:rPr>
        <w:t>.00 до 1</w:t>
      </w:r>
      <w:r w:rsidR="00DF39FE">
        <w:rPr>
          <w:rFonts w:ascii="Times New Roman" w:hAnsi="Times New Roman" w:cs="Times New Roman"/>
          <w:sz w:val="24"/>
          <w:szCs w:val="24"/>
        </w:rPr>
        <w:t>4</w:t>
      </w:r>
      <w:r w:rsidRPr="00CB39AF">
        <w:rPr>
          <w:rFonts w:ascii="Times New Roman" w:hAnsi="Times New Roman" w:cs="Times New Roman"/>
          <w:sz w:val="24"/>
          <w:szCs w:val="24"/>
        </w:rPr>
        <w:t>.00;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суббота, воскресенье - выходные дни.</w:t>
      </w:r>
    </w:p>
    <w:p w:rsidR="00EB3033" w:rsidRPr="00CB39AF" w:rsidRDefault="00EB3033" w:rsidP="00CB39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4. По вопросам, связанным с предоставлением муниципальной услуги, заявители могут обращаться в Администрации ежедневно, кроме выходных и праздничных дней, в соответствии с графиком работы Администрации. </w:t>
      </w:r>
    </w:p>
    <w:p w:rsidR="00EB3033" w:rsidRPr="00CB39AF" w:rsidRDefault="00EB3033" w:rsidP="00CB39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5. Должностные лица, оказывающие муниципальную услугу заявителям, - специалист  по делам молодёжи и спорта,  на которых в соответствии с их должностными регламентами возложены обязанности по оказанию государственной услуги.</w:t>
      </w:r>
    </w:p>
    <w:p w:rsidR="00EB3033" w:rsidRPr="00CB39AF" w:rsidRDefault="00EB3033" w:rsidP="00CB39AF">
      <w:pPr>
        <w:pStyle w:val="1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B39AF">
        <w:rPr>
          <w:rFonts w:ascii="Times New Roman" w:hAnsi="Times New Roman"/>
          <w:sz w:val="24"/>
          <w:szCs w:val="24"/>
        </w:rPr>
        <w:t>Для получения информации о порядке предоставления государственной услуги граждане обращаются в Министерство:</w:t>
      </w:r>
    </w:p>
    <w:p w:rsidR="00EB3033" w:rsidRPr="00CB39AF" w:rsidRDefault="00EB3033" w:rsidP="00CB39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lastRenderedPageBreak/>
        <w:t xml:space="preserve">1) по телефонам Министерства. Информация о предоставлении государственной услуги предоставляется специалистами Министерства по телефонам: (8-394-22) 6-04-16. </w:t>
      </w:r>
    </w:p>
    <w:p w:rsidR="00EB3033" w:rsidRPr="00CB39AF" w:rsidRDefault="00EB3033" w:rsidP="00CB39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ab/>
        <w:t>По телефону приемной Министерства (8-394-22) 6-04-11 предоставляется следующая информация:</w:t>
      </w:r>
    </w:p>
    <w:p w:rsidR="00EB3033" w:rsidRPr="00CB39AF" w:rsidRDefault="00EB3033" w:rsidP="00CB39AF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ab/>
        <w:t>контактные телефоны должностных лиц Министерства;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график личного приема граждан Министром, заместителями Министра</w:t>
      </w:r>
    </w:p>
    <w:p w:rsidR="00EB3033" w:rsidRPr="00CB39AF" w:rsidRDefault="00EB3033" w:rsidP="00CB39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2) в письменном виде по почтовому адресу Министерства. Письменное обращение с доставкой по почте или курьером направляется по следующему почтовому адресу Министерства: 667000, Республика Тыва,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>. Кызыл, ул. Калинина, д. 1б.;</w:t>
      </w:r>
    </w:p>
    <w:p w:rsidR="00EB3033" w:rsidRPr="00CB39AF" w:rsidRDefault="00EB3033" w:rsidP="00CB39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3) в письменном виде на электронный адрес Министерства в сети Интернет. Письменное обращение гражданина по сети Интернет направляется на электронную почту: </w:t>
      </w:r>
      <w:proofErr w:type="spellStart"/>
      <w:r w:rsidRPr="00CB39AF">
        <w:rPr>
          <w:rFonts w:ascii="Times New Roman" w:hAnsi="Times New Roman" w:cs="Times New Roman"/>
          <w:sz w:val="24"/>
          <w:szCs w:val="24"/>
          <w:lang w:val="en-US"/>
        </w:rPr>
        <w:t>tuvasport</w:t>
      </w:r>
      <w:proofErr w:type="spellEnd"/>
      <w:r w:rsidRPr="00CB39AF">
        <w:rPr>
          <w:rFonts w:ascii="Times New Roman" w:hAnsi="Times New Roman" w:cs="Times New Roman"/>
          <w:sz w:val="24"/>
          <w:szCs w:val="24"/>
        </w:rPr>
        <w:t>@</w:t>
      </w:r>
      <w:r w:rsidRPr="00CB39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39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39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39AF">
        <w:rPr>
          <w:rFonts w:ascii="Times New Roman" w:hAnsi="Times New Roman" w:cs="Times New Roman"/>
          <w:sz w:val="24"/>
          <w:szCs w:val="24"/>
        </w:rPr>
        <w:t>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II. Стандарт предоставления государственной услуги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Наименование государственной услуги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7. Государственная услуга по организации и проведению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мероприятий. 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Наименование государственного органа, предоставляющего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государственную услугу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8. Государственную услугу предоставляет Министерство по делам молодежи и спорта Республики Тыва.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государственной услуги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9. Результатом предоставления государственной услуги является проведение официального регионального и межмуниципального официального физкультурного и спортивного мероприятия. 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Срок предоставления государственной услуги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10. Сроки предоставления государственной услуги определяются календарным планом официальных физкультурных мероприятий и спортивных мероприятий Республики Тыва на текущий год, утвержденным приказом Министерства, а также приказом Министерства по каждому отдельному вышеназванному мероприятию.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отношения, возникающие в связи с предоставлением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11. Предоставление государственной услуги осуществляется в соответствии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>: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Конституцией Российской Федерации (Собрание законодательства Российской Федерации, 2009, № 4, ст. 445);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- 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Pr="00CB39AF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CB39AF">
        <w:rPr>
          <w:rFonts w:ascii="Times New Roman" w:hAnsi="Times New Roman" w:cs="Times New Roman"/>
          <w:sz w:val="24"/>
          <w:szCs w:val="24"/>
        </w:rPr>
        <w:t>. № 329-ФЗ «О физической культуре и спорте в Российской Федерации» («Собрание законодательства Российской Федерации», 2007, № 50, ст. 6242; 2008, № 30, ст. 3616; № 52, ст. 6236; 2009, № 19, ст. 2272; № 29, ст. 3612; № 48, ст. 5726);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CB39A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B39AF">
        <w:rPr>
          <w:rFonts w:ascii="Times New Roman" w:hAnsi="Times New Roman" w:cs="Times New Roman"/>
          <w:sz w:val="24"/>
          <w:szCs w:val="24"/>
        </w:rPr>
        <w:t xml:space="preserve">ом от 27 июля </w:t>
      </w:r>
      <w:smartTag w:uri="urn:schemas-microsoft-com:office:smarttags" w:element="metricconverter">
        <w:smartTagPr>
          <w:attr w:name="ProductID" w:val="2010 г"/>
        </w:smartTagPr>
        <w:r w:rsidRPr="00CB39A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B39AF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4587; № 49, ст. 7061);</w:t>
      </w:r>
    </w:p>
    <w:p w:rsidR="00EB3033" w:rsidRPr="00CB39AF" w:rsidRDefault="00EB3033" w:rsidP="00CB39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Федеральным законом от 2 мая 2006 года № 59 ФЗ «О порядке рассмотрения обращений граждан Российской Федерации» («Российская газета», 5 мая 2006 года, №95);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CB39AF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CB39AF">
        <w:rPr>
          <w:rFonts w:ascii="Times New Roman" w:hAnsi="Times New Roman" w:cs="Times New Roman"/>
          <w:sz w:val="24"/>
          <w:szCs w:val="24"/>
        </w:rPr>
        <w:t xml:space="preserve"> России от 01.07.2013 N 504 "Об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особенности отдельных видов спорта"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lastRenderedPageBreak/>
        <w:t xml:space="preserve">- законом Республики Тыва от 12 февраля </w:t>
      </w:r>
      <w:smartTag w:uri="urn:schemas-microsoft-com:office:smarttags" w:element="metricconverter">
        <w:smartTagPr>
          <w:attr w:name="ProductID" w:val="2009 г"/>
        </w:smartTagPr>
        <w:r w:rsidRPr="00CB39A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B39AF">
        <w:rPr>
          <w:rFonts w:ascii="Times New Roman" w:hAnsi="Times New Roman" w:cs="Times New Roman"/>
          <w:sz w:val="24"/>
          <w:szCs w:val="24"/>
        </w:rPr>
        <w:t>. № 1127 ВХ-</w:t>
      </w:r>
      <w:r w:rsidRPr="00CB39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39AF">
        <w:rPr>
          <w:rFonts w:ascii="Times New Roman" w:hAnsi="Times New Roman" w:cs="Times New Roman"/>
          <w:sz w:val="24"/>
          <w:szCs w:val="24"/>
        </w:rPr>
        <w:t xml:space="preserve"> «О физической культуре и спорте в Республике Тыва» (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Тувинская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правда, 2009, 20 февраля, 23 июня, 3 декабря, 2011, 26 января, 19 июля); 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постановлением Правительства Республики Тыва от 11 октября 2011  г. № 605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 (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Тувинская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правда, 2011, 19 октября);</w:t>
      </w:r>
    </w:p>
    <w:p w:rsidR="00EB3033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Республики Тыва от 24 января </w:t>
      </w:r>
      <w:smartTag w:uri="urn:schemas-microsoft-com:office:smarttags" w:element="metricconverter">
        <w:smartTagPr>
          <w:attr w:name="ProductID" w:val="2011 г"/>
        </w:smartTagPr>
        <w:r w:rsidRPr="00CB39A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CB39AF">
        <w:rPr>
          <w:rFonts w:ascii="Times New Roman" w:hAnsi="Times New Roman" w:cs="Times New Roman"/>
          <w:sz w:val="24"/>
          <w:szCs w:val="24"/>
        </w:rPr>
        <w:t>. № 38 «Об утверждении Положения о Министерстве по делам молодежи и спорта Республики Тыва» (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Тувинская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правда, 2011, 17 февраля, 19 мая; 2012, 21 августа);</w:t>
      </w:r>
    </w:p>
    <w:p w:rsidR="00611D07" w:rsidRDefault="00611D07" w:rsidP="00611D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1E30C9">
        <w:rPr>
          <w:rFonts w:ascii="Times New Roman" w:eastAsia="Times New Roman" w:hAnsi="Times New Roman" w:cs="Times New Roman"/>
          <w:bCs/>
          <w:sz w:val="24"/>
          <w:szCs w:val="24"/>
        </w:rPr>
        <w:t>Конвенция о правах инвалидов</w:t>
      </w:r>
      <w:r w:rsidRPr="001E30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30C9">
        <w:rPr>
          <w:rFonts w:ascii="Times New Roman" w:eastAsia="Times New Roman" w:hAnsi="Times New Roman" w:cs="Times New Roman"/>
          <w:sz w:val="24"/>
          <w:szCs w:val="24"/>
        </w:rPr>
        <w:t xml:space="preserve">Принята </w:t>
      </w:r>
      <w:hyperlink r:id="rId8" w:history="1">
        <w:r w:rsidRPr="001E30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резолюцией 61/106</w:t>
        </w:r>
      </w:hyperlink>
      <w:r w:rsidRPr="001E30C9">
        <w:rPr>
          <w:rFonts w:ascii="Times New Roman" w:eastAsia="Times New Roman" w:hAnsi="Times New Roman" w:cs="Times New Roman"/>
          <w:sz w:val="24"/>
          <w:szCs w:val="24"/>
        </w:rPr>
        <w:t xml:space="preserve"> Генеральной Ассамблеи от 13 декабря 2006 года</w:t>
      </w:r>
    </w:p>
    <w:p w:rsidR="00EB3033" w:rsidRPr="00611D07" w:rsidRDefault="00611D07" w:rsidP="00611D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</w:t>
      </w:r>
      <w:r w:rsidR="00EB3033" w:rsidRPr="00CB39A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Тыва от 1 сентября </w:t>
      </w:r>
      <w:smartTag w:uri="urn:schemas-microsoft-com:office:smarttags" w:element="metricconverter">
        <w:smartTagPr>
          <w:attr w:name="ProductID" w:val="2011 г"/>
        </w:smartTagPr>
        <w:r w:rsidR="00EB3033" w:rsidRPr="00CB39A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EB3033" w:rsidRPr="00CB39AF">
        <w:rPr>
          <w:rFonts w:ascii="Times New Roman" w:hAnsi="Times New Roman" w:cs="Times New Roman"/>
          <w:sz w:val="24"/>
          <w:szCs w:val="24"/>
        </w:rPr>
        <w:t>. № 532 «Об утверждении Порядка финансирования официальных физкультурных и спортивных мероприятий, включенных в календарный план официальных физкультурных мероприятий и спортивных мероприятий Республики Тыва, и норм расходов за счет средств республиканского бюджета Республики Тыва» (</w:t>
      </w:r>
      <w:proofErr w:type="gramStart"/>
      <w:r w:rsidR="00EB3033" w:rsidRPr="00CB39AF">
        <w:rPr>
          <w:rFonts w:ascii="Times New Roman" w:hAnsi="Times New Roman" w:cs="Times New Roman"/>
          <w:sz w:val="24"/>
          <w:szCs w:val="24"/>
        </w:rPr>
        <w:t>Тувинская</w:t>
      </w:r>
      <w:proofErr w:type="gramEnd"/>
      <w:r w:rsidR="00EB3033" w:rsidRPr="00CB39AF">
        <w:rPr>
          <w:rFonts w:ascii="Times New Roman" w:hAnsi="Times New Roman" w:cs="Times New Roman"/>
          <w:sz w:val="24"/>
          <w:szCs w:val="24"/>
        </w:rPr>
        <w:t xml:space="preserve"> правда, 2011, 13 сентября).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9AF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CB39AF">
        <w:rPr>
          <w:rFonts w:ascii="Times New Roman" w:hAnsi="Times New Roman" w:cs="Times New Roman"/>
          <w:b/>
          <w:sz w:val="24"/>
          <w:szCs w:val="24"/>
        </w:rPr>
        <w:t xml:space="preserve"> в соответствии с нормативными правовыми актами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для предоставления государственной услуги</w:t>
      </w:r>
    </w:p>
    <w:p w:rsidR="00EB3033" w:rsidRPr="00CB39AF" w:rsidRDefault="00EB3033" w:rsidP="00CB39AF">
      <w:pPr>
        <w:pStyle w:val="a3"/>
        <w:spacing w:before="0" w:beforeAutospacing="0" w:after="0" w:afterAutospacing="0"/>
        <w:ind w:firstLine="567"/>
        <w:jc w:val="both"/>
      </w:pPr>
      <w:r w:rsidRPr="00CB39AF">
        <w:t>12. Для предоставления государственной услуги заявители предоставляют в Министерство следующие документы:</w:t>
      </w:r>
    </w:p>
    <w:p w:rsidR="00EB3033" w:rsidRPr="00CB39AF" w:rsidRDefault="00EB3033" w:rsidP="00CB39AF">
      <w:pPr>
        <w:pStyle w:val="a3"/>
        <w:spacing w:before="0" w:beforeAutospacing="0" w:after="0" w:afterAutospacing="0"/>
        <w:ind w:firstLine="567"/>
        <w:jc w:val="both"/>
      </w:pPr>
      <w:r w:rsidRPr="00CB39AF">
        <w:t>-     заявление на проведение мероприятия (приложение № 2);</w:t>
      </w:r>
    </w:p>
    <w:p w:rsidR="00EB3033" w:rsidRPr="00CB39AF" w:rsidRDefault="00EB3033" w:rsidP="00CB39AF">
      <w:pPr>
        <w:pStyle w:val="a3"/>
        <w:spacing w:before="0" w:beforeAutospacing="0" w:after="0" w:afterAutospacing="0"/>
        <w:ind w:firstLine="567"/>
        <w:jc w:val="both"/>
      </w:pPr>
      <w:r w:rsidRPr="00CB39AF">
        <w:t>-  проект Положения (регламентов) о республиканском спортивном соревновании и физкультурном мероприятии (далее – Положение о мероприятии).</w:t>
      </w:r>
    </w:p>
    <w:p w:rsidR="00EB3033" w:rsidRPr="00CB39AF" w:rsidRDefault="00EB3033" w:rsidP="00CB39AF">
      <w:pPr>
        <w:pStyle w:val="a3"/>
        <w:spacing w:before="0" w:beforeAutospacing="0" w:after="0" w:afterAutospacing="0"/>
        <w:ind w:firstLine="567"/>
        <w:jc w:val="both"/>
      </w:pPr>
      <w:r w:rsidRPr="00CB39AF">
        <w:t>13. Проект положения о мероприятии представляется в Министерство не позднее, чем за два месяца до проведения мероприятия.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14.При предоставлении Министерством государственной услуги запрещено требовать от гражданина: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Министерства, иных органов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EB3033" w:rsidRPr="00CB39AF" w:rsidRDefault="00EB3033" w:rsidP="00CB39AF">
      <w:pPr>
        <w:pStyle w:val="a3"/>
        <w:spacing w:before="0" w:beforeAutospacing="0" w:after="0" w:afterAutospacing="0"/>
        <w:ind w:firstLine="567"/>
        <w:jc w:val="both"/>
      </w:pPr>
    </w:p>
    <w:p w:rsidR="00EB3033" w:rsidRPr="00086B7A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 15. Оснований для отказа в приеме документов, необходимых для предоставления Министерством государственной услуги, законодательством Российской Федерации не предусмотрено.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или отказа в предоставлении государственной услуги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16. Предоставление государственной услуги приостанавливается в случае изменения условий проведения официальных региональных и межмуниципальных физкультурных и спортивных мероприятий.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17. Основаниями для отказа в  предоставлении  государственной услуги является: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 - неподготовленность объекта, на котором будут проводиться официальные региональные и межмуниципальные физкультурные и спортивные мероприятия;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CB39AF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B39AF">
        <w:rPr>
          <w:rFonts w:ascii="Times New Roman" w:hAnsi="Times New Roman" w:cs="Times New Roman"/>
          <w:sz w:val="24"/>
          <w:szCs w:val="24"/>
        </w:rPr>
        <w:t xml:space="preserve"> спортивных судейских бригад;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отсутствие медицинского обеспечения перед началом и во время проведения официальных региональных и межмуниципальных физкультурных и спортивных мероприятий.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CB39AF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CB39AF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государственной услуги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18. 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19. Государственная услуга предоставляется без взимания государственной пошлины или иной платы.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20.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Срок и порядок регистрации заявления о предоставлении государственной услуги и документов, представленных заявителем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21. Регистрация заявления о предоставлении государственной услуги и документов, представленных заявителем в Министерство лично, осуществляется в день их представления в Министерство.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22. Регистрация заявления и документов, необходимых для предоставления государственной услуги, направленных заявителями с использованием средств почтовой связи или в форме электронных документов, осуществляется в течение двух рабочих дней.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23. Регистрация заявлений о предоставлении государственной услуги и документов, представленных заявителем или представителем, осуществляется секретарем-делопроизводителем Министерства.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CB39AF">
        <w:rPr>
          <w:rFonts w:ascii="Times New Roman" w:hAnsi="Times New Roman" w:cs="Times New Roman"/>
          <w:b/>
          <w:sz w:val="24"/>
          <w:szCs w:val="24"/>
        </w:rPr>
        <w:t>мультимедийной</w:t>
      </w:r>
      <w:proofErr w:type="spellEnd"/>
      <w:r w:rsidRPr="00CB39AF">
        <w:rPr>
          <w:rFonts w:ascii="Times New Roman" w:hAnsi="Times New Roman" w:cs="Times New Roman"/>
          <w:b/>
          <w:sz w:val="24"/>
          <w:szCs w:val="24"/>
        </w:rPr>
        <w:t xml:space="preserve"> информации о порядке предоставления такой услуги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 24. Помещения, в которых предоставляется государственная услуга, должны быть оснащены средствами связи и организационной техникой, оборудованы офисной мебелью.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25. Помещения, предназначенные для приема заявителей, оборудуются информационными стендами.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26. Места ожидания предоставления государственной услуги оборудуются стульями, столами.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27. Должностные лица, ответственные за предоставление государственной услуги, на рабочих местах обязаны иметь таблички с указанием фамилии, имени, отчества и занимаемой должности.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28. Региональные официальные физкультурные мероприятия и спортивные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и межмуниципальные официальные физкультурные мероприятия и спортивные мероприятия (далее - мероприятие) проводятся на объектах,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 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государственной услуги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30. Показателями доступности и качества государственной услуги являются: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открытость информации о государственной услуге;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своевременность предоставления государственной услуги;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lastRenderedPageBreak/>
        <w:t>- точное соблюдение требований действующего законодательства, в том числе отсутствие избыточных административных действий;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обоснованность отказов в предоставлении государственной услуги;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возможность обращения с жалобой на принятое по заявлению решение или на действие (бездействие) в связи с рассмотрением заявления в судебном порядке в соответствии с законодательством Российской Федерации;</w:t>
      </w:r>
    </w:p>
    <w:p w:rsidR="00EB3033" w:rsidRPr="00CB39AF" w:rsidRDefault="00EB3033" w:rsidP="00CB39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возможность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при предоставлении государственной услуги;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возможность направления заявления и прилагаемых к нему документов заявителем в электронной форме посредством электронной почты.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государственной услуги в </w:t>
      </w:r>
      <w:proofErr w:type="gramStart"/>
      <w:r w:rsidRPr="00CB39AF">
        <w:rPr>
          <w:rFonts w:ascii="Times New Roman" w:hAnsi="Times New Roman" w:cs="Times New Roman"/>
          <w:b/>
          <w:sz w:val="24"/>
          <w:szCs w:val="24"/>
        </w:rPr>
        <w:t>многофункциональных</w:t>
      </w:r>
      <w:proofErr w:type="gramEnd"/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9AF">
        <w:rPr>
          <w:rFonts w:ascii="Times New Roman" w:hAnsi="Times New Roman" w:cs="Times New Roman"/>
          <w:b/>
          <w:sz w:val="24"/>
          <w:szCs w:val="24"/>
        </w:rPr>
        <w:t>центрах</w:t>
      </w:r>
      <w:proofErr w:type="gramEnd"/>
      <w:r w:rsidRPr="00CB39AF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услуг и особенности предоставления государственной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31.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32. Иные требования и особенности предоставления государственной услуги в форме электронного документа отсутствуют.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 33.Предоставление государственной услуги включает в себя следующие административные процедуры: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прием и регистрация заявления на проведение мероприятия.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подготовка документов, регламентирующих порядок проведения мероприятия;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проведение организационных мер при подготовке мероприятия;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проведение мероприятия;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подведение итогов проведения мероприятия.</w:t>
      </w:r>
    </w:p>
    <w:p w:rsidR="00EB3033" w:rsidRPr="00CB39AF" w:rsidRDefault="00EB3033" w:rsidP="00CB39A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на проведение мероприятия.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34. Регистрация заявления о предоставлении государственной услуги и документов, представленных заявителем в Министерство лично, осуществляется в день их представления в Министерство.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35. Регистрация заявления и документов, необходимых для предоставления государственной услуги, направленных заявителями с использованием средств почтовой связи или в форме электронных документов, осуществляется в течение двух рабочих дней.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36. Регистрация заявлений о предоставлении государственной услуги и документов осуществляется секретарем-делопроизводителем Министерства.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37. Заявление и документы, необходимые для предоставления государственной услуги, после наложения резолюции Министром или заместителем Министра передаются специалисту, ответственному за предоставление государственной услуги.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Подготовка документов, регламентирующих порядок проведения мероприятия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государственной услуги осуществляет проверку наличия документов, предусмотренных пунктом 12 Административного регламента, полноты и правильности заполнения заявления (приложение № 2 к Административному регламенту), а также проверяет наличие соответствующего физкультурного или спортивного мероприятия в календарном плане официальных физкультурных мероприятий и спортивных мероприятий Республики Тыва, утвержденном на текущий календарный год (далее - КП).</w:t>
      </w:r>
      <w:proofErr w:type="gramEnd"/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lastRenderedPageBreak/>
        <w:t>39. В случае выявления несоответствия представленных документов требованиям Административного регламента специалистом направляется мотивированный отказ в предоставлении государственной услуги.</w:t>
      </w:r>
    </w:p>
    <w:p w:rsidR="00EB3033" w:rsidRPr="00CB39AF" w:rsidRDefault="00EB3033" w:rsidP="00CB39AF">
      <w:pPr>
        <w:pStyle w:val="a3"/>
        <w:spacing w:before="0" w:beforeAutospacing="0" w:after="0" w:afterAutospacing="0"/>
        <w:ind w:firstLine="567"/>
        <w:jc w:val="both"/>
      </w:pPr>
      <w:r w:rsidRPr="00CB39AF">
        <w:t>40. Проект положения о мероприятии проверяется специалистом на соответствие требованиям Порядка разработки и утверждения Положений (регламентов) о республиканском спортивном соревновании и физкультурном мероприятии, утвержденного приказом Министерства.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41. В случае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если положение о мероприятии соответствует требованиям Порядка разработки и утверждения Положений (регламентов) о республиканском спортивном соревновании и физкультурном мероприятии, утвержденного приказом Министерства, специалист, ответственный за предоставление государственной услуги, представляет его на утверждение Министру.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42. Специалист, ответственный за предоставление государственной услуги, рассылает утвержденное положение (регламент) не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чем за 30 дней до даты проведения мероприятия организаторам и участникам мероприятия с помощью факсимильной связи, по электронной почте, заказным письмом. 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доведение утвержденного положения (регламента) о проведении мероприятия до участвующих организаций.</w:t>
      </w:r>
    </w:p>
    <w:p w:rsidR="00EB3033" w:rsidRPr="00CB39AF" w:rsidRDefault="00EB3033" w:rsidP="00CB3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033" w:rsidRPr="00CB39AF" w:rsidRDefault="00EB3033" w:rsidP="00CB3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Проведение организационных мер при подготовке мероприятия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43. Специалист, ответственный за проведение мероприятия осуществляет подготовительные меры к нему, в том числе: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совместно с заинтересованными в проведении мероприятия организациями составляет смету мероприятия;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проводит подготовительную работу с руководителями спортивных организаций, предприятий и учреждений, на объектах которых проводится мероприятие;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чем за 7 рабочих дней да начала проведения мероприятия подготавливает в установленном порядке проект приказа Министерства о его проведении;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при необходимости осуществляется рекламирование мероприятия посредством заказа и размещения афиш, разработки и рассылки пресс-релизов в средствах массовой информации и т.п.;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при необходимости подготавливает проекты обращений в органы внутренних дел по Республике Тыва, управление МЧС Российской Федерации по Республике Тыва о содействии в обеспечении общественного порядка и общественной безопасности при проведении мероприятия;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подготавливает проекты обращений в учреждения здравоохранения для медицинского обеспечения мероприятия;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подготавливает иные документы и акты, необходимые для качественного проведения мероприятия.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готовность к проведению мероприятий: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объекта, на котором будет проводиться мероприятие;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всех служб, обслуживающих данное мероприятие (спортивная судейская бригада, обслуживающий персонал, службы безопасности, медицинский персонал и т.п.);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издание приказа Министерства о проведения мероприятия.</w:t>
      </w:r>
    </w:p>
    <w:p w:rsidR="00EB3033" w:rsidRPr="00CB39AF" w:rsidRDefault="00EB3033" w:rsidP="00CB3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Проведение мероприятия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44. Специалист, ответственный за проведение мероприятия, в ходе его проведения: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- при необходимости присутствует и участвует в его открытии и закрытии; 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координирует работу всех служб, задействованных в его проведении;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при необходимости участвует в работе различных комиссий (коллегий) при подведении итогов;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- по мере необходимости участвует в работе различных комиссий  (коллегий) при поступлении и рассмотрении жалоб, протестов со стороны участников мероприятий.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исполнения данной административной процедуры является проведение мероприятия и утверждение главной спортивной судейской коллегией его итогов. </w:t>
      </w:r>
    </w:p>
    <w:p w:rsidR="00EB3033" w:rsidRPr="00CB39AF" w:rsidRDefault="00EB3033" w:rsidP="00CB3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033" w:rsidRPr="00CB39AF" w:rsidRDefault="00EB3033" w:rsidP="00CB3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Подведение итогов проведения мероприятия.</w:t>
      </w:r>
    </w:p>
    <w:p w:rsidR="00EB3033" w:rsidRPr="00CB39AF" w:rsidRDefault="00EB3033" w:rsidP="00CB3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45. Главный судья мероприятия в течение 7 (семи) дней после его проведения составляет отчет о проведении мероприятия и представляет  специалисту, ответственному за его проведение.</w:t>
      </w:r>
    </w:p>
    <w:p w:rsidR="00EB3033" w:rsidRPr="00CB39AF" w:rsidRDefault="00EB3033" w:rsidP="00CB39A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pStyle w:val="1"/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CB39AF">
        <w:rPr>
          <w:rFonts w:ascii="Times New Roman" w:hAnsi="Times New Roman"/>
          <w:b/>
          <w:sz w:val="24"/>
          <w:szCs w:val="24"/>
        </w:rPr>
        <w:t xml:space="preserve">Формы </w:t>
      </w:r>
      <w:proofErr w:type="gramStart"/>
      <w:r w:rsidRPr="00CB39AF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B39AF">
        <w:rPr>
          <w:rFonts w:ascii="Times New Roman" w:hAnsi="Times New Roman"/>
          <w:b/>
          <w:sz w:val="24"/>
          <w:szCs w:val="24"/>
        </w:rPr>
        <w:t xml:space="preserve"> предоставлением</w:t>
      </w:r>
    </w:p>
    <w:p w:rsidR="00EB3033" w:rsidRPr="00CB39AF" w:rsidRDefault="00EB3033" w:rsidP="00CB39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муниципальной  услуги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46. Текущий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 по предоставлению государственной услуги, и принятием решений специалистами осуществляется должностными лицами Министерства, ответственными за организацию работы по предоставлению государственной услуги. Персональная ответственность специалистов закрепляется в их должностных регламентах.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соблюдением специалистами, осуществляющими предоставление государственной услуги, положений настоящего Административного регламента и норм действующего законодательства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По результатам контроля, в случае необходимости, первый заместитель министра принимает решение по устранению допущенных нарушений, подготовке предложений по наложению соответствующего дисциплинарного взыскания, а также по изменению разделов настоящего Административного регламента.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CB39A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B39AF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государственной услуги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48. Проверки могут быть плановые (осуществляться на основании годовых или полугодовых планов работы Министерства) и внеплановые.  При проверке могут рассматриваться все вопросы, связанные с предоставлением государственной услуги, или отдельные вопросы. Проверка также может проводиться по конкретному обращению заявителя.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Внеплановые проверки осуществляются на основании приказа Министерства.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49. Проверка также проводится по конкретному обращению заявителя в случаях обращения заявителей с жалобой на решение или действие (бездействие), осуществляемое (принятое) в ходе предоставления государственной услуги должностными лицами Министерства.</w:t>
      </w:r>
    </w:p>
    <w:p w:rsidR="00EB3033" w:rsidRPr="00CB39AF" w:rsidRDefault="00EB3033" w:rsidP="00CB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за предоставлением государственной услуги, в том числе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2"/>
      <w:bookmarkEnd w:id="2"/>
      <w:r w:rsidRPr="00CB39AF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со стороны уполномоченных должностных лиц Министерства должен быть постоянным, всесторонним и объективным.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51.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рассмотрением своих обращений могут осуществлять их авторы на основании информации, полученной у секретаря-делопроизводителя или у исполнителя по телефону.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обжалования решений и действий (бездействия) Министерства,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9AF">
        <w:rPr>
          <w:rFonts w:ascii="Times New Roman" w:hAnsi="Times New Roman" w:cs="Times New Roman"/>
          <w:b/>
          <w:sz w:val="24"/>
          <w:szCs w:val="24"/>
        </w:rPr>
        <w:t>а также его должностных лиц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52. Гражданин имеет право на досудебное (внесудебное) обжалование решений и действий (бездействия) Министерства и его должностных лиц, принятых (осуществляемых) в ходе предоставления государственной услуги.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lastRenderedPageBreak/>
        <w:t>53. Предметом досудебного (внесудебного) обжалования является решение или действие (бездействие) Министерства, должностного лица Министерства по обращению гражданина, принятое (осуществленное) им в ходе предоставления государственной услуги.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Гражданин может обратиться с жалобой по основаниям, установленным </w:t>
      </w:r>
      <w:hyperlink r:id="rId9" w:history="1">
        <w:r w:rsidRPr="00CB39AF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CB39A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B39A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B39AF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 в том числе в следующих случаях: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нарушение срока регистрации запроса гражданина о предоставлении государственной услуги;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нарушение срока предоставления государственной услуги;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требование у гражданина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гражданина;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 также настоящим Административным регламентом;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затребование с гражданина при предоставлении государственной услуги платы, не предусмотренной нормативными правовыми актами Российской Федерации;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9AF">
        <w:rPr>
          <w:rFonts w:ascii="Times New Roman" w:hAnsi="Times New Roman" w:cs="Times New Roman"/>
          <w:sz w:val="24"/>
          <w:szCs w:val="24"/>
        </w:rPr>
        <w:t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54. Гражданин может обратиться с жалобой в порядке, установленном </w:t>
      </w:r>
      <w:hyperlink r:id="rId10" w:history="1">
        <w:r w:rsidRPr="00CB39AF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CB39A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B39A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B39AF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55. Основанием для начала процедуры досудебного (внесудебного) обжалования решения или действия (бездействия) Министерства, должностного лица Министерства является поступление в Министерство жалобы гражданина о его несогласии с результатом предоставления государственной услуги, изложенной с учетом требований, предусмотренных Административным регламентом, в письменной форме на бумажном носителе или в форме электронного документа.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официального сайта Министерства в информационно-телекоммуникационной сети Интернет (в том числе через Портал), а также может быть принята при личном приеме гражданина.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56. Жалоба должна содержать: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наименование Министерства, должностного лица Министерства, решения и действия (бездействие) которых обжалуются;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9AF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гражданину;</w:t>
      </w:r>
      <w:proofErr w:type="gramEnd"/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Министерства, должностного лица Министерства;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доводы, на основании которых гражданин не согласен с решением и действием (бездействием) Министерства, должностного лица Министерства. Гражданином могут быть представлены документы (при наличии), подтверждающие доводы гражданина, либо их копии.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57. Жалоба гражданина может быть направлена в досудебном (внесудебном) порядке: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Начальнику отдела - на решение или действие (бездействие) должностных лиц соответствующего отдела;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Заместителю Министра - на решение или действие (бездействие) начальника курируемого им отдела;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Министру - на решение или действие (бездействие) заместителя Министра.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 xml:space="preserve">Жалоба, поступившая в Министерство в письменной форме или в форме электронного документа,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</w:t>
      </w:r>
      <w:r w:rsidRPr="00CB39AF">
        <w:rPr>
          <w:rFonts w:ascii="Times New Roman" w:hAnsi="Times New Roman" w:cs="Times New Roman"/>
          <w:sz w:val="24"/>
          <w:szCs w:val="24"/>
        </w:rPr>
        <w:lastRenderedPageBreak/>
        <w:t>гражданина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- в течение пяти рабочих дней со дня ее регистрации.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59. По результатам рассмотрения жалобы на решение или действие (бездействие), принятое (осуществленное) в ходе предоставления государственной услуги, начальник отдела, заместитель Министра или Министр принимает одно из следующих решений: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9AF"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гражданину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60. Не позднее дня, следующего за днем принятия решения, указанного в </w:t>
      </w:r>
      <w:hyperlink r:id="rId11" w:history="1">
        <w:r w:rsidRPr="00CB39A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B39AF">
        <w:rPr>
          <w:rFonts w:ascii="Times New Roman" w:hAnsi="Times New Roman" w:cs="Times New Roman"/>
          <w:sz w:val="24"/>
          <w:szCs w:val="24"/>
        </w:rPr>
        <w:t>59 Административного регламента, гражданину в письменной форме и по желанию гражданина в электронной форме направляется мотивированный ответ о результатах рассмотрения жалобы.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61. В случае установления в ходе или по результатам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62.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CB39AF">
          <w:rPr>
            <w:rFonts w:ascii="Times New Roman" w:hAnsi="Times New Roman" w:cs="Times New Roman"/>
            <w:sz w:val="24"/>
            <w:szCs w:val="24"/>
          </w:rPr>
          <w:t>пунктом 10 статьи 11.2</w:t>
        </w:r>
      </w:hyperlink>
      <w:r w:rsidRPr="00CB39A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B39A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B39AF">
        <w:rPr>
          <w:rFonts w:ascii="Times New Roman" w:hAnsi="Times New Roman" w:cs="Times New Roman"/>
          <w:sz w:val="24"/>
          <w:szCs w:val="24"/>
        </w:rPr>
        <w:t xml:space="preserve">. № 210-ФЗ «Об организации предоставления государственных и муниципальных услуг» положения указанного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</w:t>
      </w:r>
      <w:hyperlink r:id="rId13" w:history="1">
        <w:r w:rsidRPr="00CB39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B39AF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  <w:proofErr w:type="gramEnd"/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63. Гражданин имеет право на получение информации и документов, необходимых для обоснования и рассмотрения жалобы.</w:t>
      </w:r>
    </w:p>
    <w:p w:rsidR="00EB3033" w:rsidRPr="00CB39AF" w:rsidRDefault="00EB3033" w:rsidP="00CB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Министерство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В этом случае в ответе на запрос Министерство указывает наименование, дату выхода и номер средства массовой информации, в котором опубликована запрашиваемая информация, и (или) электронный адрес официального сайта Министерства в сети Интернет либо электронный адрес иного сайта, на котором размещена запрашиваемая информация, включая электронный адрес, прямо указывающий на запрашиваемую информацию, или последовательность действий, которые должен совершить пользователь информацией на указанных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для получения запрашиваемой информации с указанием даты ее размещения.</w:t>
      </w:r>
    </w:p>
    <w:p w:rsidR="00EB3033" w:rsidRPr="00CB39AF" w:rsidRDefault="00EB3033" w:rsidP="00CB39AF">
      <w:pPr>
        <w:ind w:left="4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pageBreakBefore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B3033" w:rsidRPr="00CB39AF" w:rsidRDefault="00EB3033" w:rsidP="00CB39AF">
      <w:pPr>
        <w:spacing w:line="240" w:lineRule="exact"/>
        <w:ind w:left="46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              </w:t>
      </w:r>
    </w:p>
    <w:p w:rsidR="00EB3033" w:rsidRPr="00CB39AF" w:rsidRDefault="00EB3033" w:rsidP="00CB39AF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БЛОК-СХЕМА</w:t>
      </w:r>
    </w:p>
    <w:p w:rsidR="00EB3033" w:rsidRPr="00CB39AF" w:rsidRDefault="00EB3033" w:rsidP="00CB39A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</w:t>
      </w:r>
    </w:p>
    <w:p w:rsidR="00EB3033" w:rsidRPr="00CB39AF" w:rsidRDefault="00EB3033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60"/>
        <w:gridCol w:w="4489"/>
      </w:tblGrid>
      <w:tr w:rsidR="00EB3033" w:rsidRPr="00CB39AF" w:rsidTr="00DF39FE">
        <w:tc>
          <w:tcPr>
            <w:tcW w:w="9457" w:type="dxa"/>
            <w:gridSpan w:val="3"/>
          </w:tcPr>
          <w:p w:rsidR="00EB3033" w:rsidRPr="00CB39AF" w:rsidRDefault="00EB3033" w:rsidP="00CB39AF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33" w:rsidRPr="00CB39AF" w:rsidRDefault="00EB3033" w:rsidP="00CB39AF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на проведение мероприятия.</w:t>
            </w:r>
          </w:p>
          <w:p w:rsidR="00EB3033" w:rsidRPr="00CB39AF" w:rsidRDefault="00EB3033" w:rsidP="00CB39A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3" w:rsidRPr="00CB39AF" w:rsidTr="00DF39FE">
        <w:tc>
          <w:tcPr>
            <w:tcW w:w="4608" w:type="dxa"/>
            <w:tcBorders>
              <w:left w:val="nil"/>
            </w:tcBorders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3" w:rsidRPr="00CB39AF" w:rsidTr="00DF39FE">
        <w:tc>
          <w:tcPr>
            <w:tcW w:w="9457" w:type="dxa"/>
            <w:gridSpan w:val="3"/>
          </w:tcPr>
          <w:p w:rsidR="00EB3033" w:rsidRPr="00CB39AF" w:rsidRDefault="00EB3033" w:rsidP="00CB39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33" w:rsidRPr="00CB39AF" w:rsidRDefault="00EB3033" w:rsidP="00CB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F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регламентирующих порядок проведения</w:t>
            </w:r>
          </w:p>
          <w:p w:rsidR="00EB3033" w:rsidRPr="00CB39AF" w:rsidRDefault="00EB3033" w:rsidP="00CB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3" w:rsidRPr="00CB39AF" w:rsidTr="00DF39FE">
        <w:trPr>
          <w:trHeight w:val="832"/>
        </w:trPr>
        <w:tc>
          <w:tcPr>
            <w:tcW w:w="4608" w:type="dxa"/>
            <w:tcBorders>
              <w:left w:val="nil"/>
            </w:tcBorders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3" w:rsidRPr="00CB39AF" w:rsidTr="00DF39FE">
        <w:trPr>
          <w:trHeight w:val="1412"/>
        </w:trPr>
        <w:tc>
          <w:tcPr>
            <w:tcW w:w="9457" w:type="dxa"/>
            <w:gridSpan w:val="3"/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33" w:rsidRPr="00CB39AF" w:rsidRDefault="00EB3033" w:rsidP="00C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3" w:rsidRPr="00CB39AF" w:rsidTr="00DF39FE">
        <w:tc>
          <w:tcPr>
            <w:tcW w:w="4608" w:type="dxa"/>
            <w:tcBorders>
              <w:left w:val="nil"/>
            </w:tcBorders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3" w:rsidRPr="00CB39AF" w:rsidTr="00DF39FE">
        <w:tc>
          <w:tcPr>
            <w:tcW w:w="9457" w:type="dxa"/>
            <w:gridSpan w:val="3"/>
          </w:tcPr>
          <w:p w:rsidR="00EB3033" w:rsidRPr="00CB39AF" w:rsidRDefault="00EB3033" w:rsidP="00C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33" w:rsidRPr="00CB39AF" w:rsidRDefault="00EB3033" w:rsidP="00CB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F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проведения мероприятия</w:t>
            </w:r>
          </w:p>
          <w:p w:rsidR="00EB3033" w:rsidRPr="00CB39AF" w:rsidRDefault="00EB3033" w:rsidP="00CB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033" w:rsidRPr="00CB39AF" w:rsidRDefault="00EB3033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9AF" w:rsidRDefault="00EB3033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9AF" w:rsidRDefault="00CB39AF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39AF" w:rsidRDefault="00CB39AF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39AF" w:rsidRDefault="00CB39AF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CF7" w:rsidRDefault="00560CF7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CF7" w:rsidRPr="00560CF7" w:rsidRDefault="00560CF7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2</w:t>
      </w:r>
    </w:p>
    <w:p w:rsidR="00EB3033" w:rsidRPr="00CB39AF" w:rsidRDefault="00EB3033" w:rsidP="00CB39AF">
      <w:pPr>
        <w:ind w:left="2124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               к Административному регламенту </w:t>
      </w:r>
    </w:p>
    <w:p w:rsidR="00EB3033" w:rsidRPr="00CB39AF" w:rsidRDefault="00EB3033" w:rsidP="00CB39AF">
      <w:pPr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Министру по делам молодежи</w:t>
      </w:r>
    </w:p>
    <w:p w:rsidR="00EB3033" w:rsidRPr="00CB39AF" w:rsidRDefault="00EB3033" w:rsidP="00CB39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 и спорта Республики Тыва</w:t>
      </w:r>
    </w:p>
    <w:p w:rsidR="00EB3033" w:rsidRPr="00CB39AF" w:rsidRDefault="00EB3033" w:rsidP="00CB39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Ондар У.С.</w:t>
      </w:r>
    </w:p>
    <w:p w:rsidR="00EB3033" w:rsidRPr="00CB39AF" w:rsidRDefault="00EB3033" w:rsidP="00CB39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EB3033" w:rsidRPr="00CB39AF" w:rsidRDefault="00EB3033" w:rsidP="00CB39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033" w:rsidRPr="00CB39AF" w:rsidRDefault="00EB3033" w:rsidP="00CB39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Заявление</w:t>
      </w:r>
    </w:p>
    <w:p w:rsidR="00EB3033" w:rsidRPr="00CB39AF" w:rsidRDefault="00EB3033" w:rsidP="00CB39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на проведение мероприятия</w:t>
      </w:r>
    </w:p>
    <w:p w:rsidR="00EB3033" w:rsidRPr="00CB39AF" w:rsidRDefault="00EB3033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Просим разрешить проведение мероприятия включенного в единый календарный план региональных, межмуниципальных официальных физкультурных мероприятий и спортивных мероприятий Республики Тыва на 20___ год:</w:t>
      </w:r>
    </w:p>
    <w:p w:rsidR="00EB3033" w:rsidRPr="00CB39AF" w:rsidRDefault="00EB3033" w:rsidP="00CB39AF">
      <w:pPr>
        <w:numPr>
          <w:ilvl w:val="0"/>
          <w:numId w:val="3"/>
        </w:numPr>
        <w:tabs>
          <w:tab w:val="clear" w:pos="1080"/>
          <w:tab w:val="num" w:pos="18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Наименование спортивного мероприятия - __________________________________________________________ </w:t>
      </w:r>
    </w:p>
    <w:p w:rsidR="00EB3033" w:rsidRPr="00CB39AF" w:rsidRDefault="00EB3033" w:rsidP="00CB39AF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Возрастная группа участников спортивного мероприятия - __________________________________________________________ </w:t>
      </w:r>
    </w:p>
    <w:p w:rsidR="00EB3033" w:rsidRPr="00CB39AF" w:rsidRDefault="00EB3033" w:rsidP="00CB39AF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Планируемое количество участников спортивного мероприятия - __________________________________________________________ </w:t>
      </w:r>
    </w:p>
    <w:p w:rsidR="00EB3033" w:rsidRPr="00CB39AF" w:rsidRDefault="00EB3033" w:rsidP="00CB39AF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Сроки проведения спортивного мероприятия - __________________________________________________________ </w:t>
      </w:r>
    </w:p>
    <w:p w:rsidR="00EB3033" w:rsidRPr="00CB39AF" w:rsidRDefault="00EB3033" w:rsidP="00CB39AF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Место проведения спортивного мероприятия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 ;</w:t>
      </w:r>
      <w:proofErr w:type="gramEnd"/>
    </w:p>
    <w:p w:rsidR="00EB3033" w:rsidRPr="00CB39AF" w:rsidRDefault="00EB3033" w:rsidP="00CB39AF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Спортивный объект для проведения спортивного мероприятия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 ;</w:t>
      </w:r>
      <w:proofErr w:type="gramEnd"/>
    </w:p>
    <w:p w:rsidR="00EB3033" w:rsidRPr="00CB39AF" w:rsidRDefault="00EB3033" w:rsidP="00CB39AF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Потребность в финансировании спортивного мероприятия:</w:t>
      </w:r>
    </w:p>
    <w:p w:rsidR="00EB3033" w:rsidRPr="00CB39AF" w:rsidRDefault="00EB3033" w:rsidP="00CB39AF">
      <w:pPr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всег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 xml:space="preserve"> _____ (тыс.руб.), в том числе по источникам финансирования:</w:t>
      </w:r>
    </w:p>
    <w:p w:rsidR="00EB3033" w:rsidRPr="00CB39AF" w:rsidRDefault="00EB3033" w:rsidP="00CB39AF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республиканский бюджет - ________ (тыс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>уб.);</w:t>
      </w:r>
    </w:p>
    <w:p w:rsidR="00EB3033" w:rsidRPr="00CB39AF" w:rsidRDefault="00EB3033" w:rsidP="00CB39AF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муниципальный бюджет - _________ (тыс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>уб.);</w:t>
      </w:r>
    </w:p>
    <w:p w:rsidR="00EB3033" w:rsidRPr="00CB39AF" w:rsidRDefault="00EB3033" w:rsidP="00CB39AF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внебюджетные средства - __________ (тыс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B39AF">
        <w:rPr>
          <w:rFonts w:ascii="Times New Roman" w:hAnsi="Times New Roman" w:cs="Times New Roman"/>
          <w:sz w:val="24"/>
          <w:szCs w:val="24"/>
        </w:rPr>
        <w:t>уб.).</w:t>
      </w:r>
    </w:p>
    <w:p w:rsidR="00EB3033" w:rsidRPr="00CB39AF" w:rsidRDefault="00EB3033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9AF" w:rsidRPr="00086B7A" w:rsidRDefault="00CB39AF" w:rsidP="00CB39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9AF" w:rsidRPr="00086B7A" w:rsidRDefault="00CB39AF" w:rsidP="00CB39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CB39AF">
        <w:rPr>
          <w:rFonts w:ascii="Times New Roman" w:hAnsi="Times New Roman" w:cs="Times New Roman"/>
          <w:sz w:val="24"/>
          <w:szCs w:val="24"/>
        </w:rPr>
        <w:t xml:space="preserve"> - ________________ (__________________)</w:t>
      </w:r>
      <w:proofErr w:type="gramEnd"/>
    </w:p>
    <w:p w:rsidR="00EB3033" w:rsidRPr="00CB39AF" w:rsidRDefault="00EB3033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 (расшифровка подписи)</w:t>
      </w:r>
    </w:p>
    <w:p w:rsidR="00EB3033" w:rsidRPr="00CB39AF" w:rsidRDefault="00EB3033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9AF">
        <w:rPr>
          <w:rFonts w:ascii="Times New Roman" w:hAnsi="Times New Roman" w:cs="Times New Roman"/>
          <w:sz w:val="24"/>
          <w:szCs w:val="24"/>
        </w:rPr>
        <w:t>м.п.    «____» _____________ 20___ г.</w:t>
      </w:r>
    </w:p>
    <w:p w:rsidR="00EB3033" w:rsidRPr="00CB39AF" w:rsidRDefault="00EB3033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033" w:rsidRPr="00CB39AF" w:rsidRDefault="00EB3033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3B0" w:rsidRPr="00CB39AF" w:rsidRDefault="007403B0" w:rsidP="00CB39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03B0" w:rsidRPr="00CB39AF" w:rsidSect="00560CF7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7AC1"/>
    <w:multiLevelType w:val="hybridMultilevel"/>
    <w:tmpl w:val="D3E20198"/>
    <w:lvl w:ilvl="0" w:tplc="BB96E154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30706DCC"/>
    <w:multiLevelType w:val="hybridMultilevel"/>
    <w:tmpl w:val="624C8C82"/>
    <w:lvl w:ilvl="0" w:tplc="F4AACB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D8476C8"/>
    <w:multiLevelType w:val="hybridMultilevel"/>
    <w:tmpl w:val="A1AE0FC8"/>
    <w:lvl w:ilvl="0" w:tplc="9BCEA17C">
      <w:start w:val="4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E3A5422"/>
    <w:multiLevelType w:val="hybridMultilevel"/>
    <w:tmpl w:val="1E4CC566"/>
    <w:lvl w:ilvl="0" w:tplc="63FE88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400FEF"/>
    <w:multiLevelType w:val="hybridMultilevel"/>
    <w:tmpl w:val="E5A8DA3C"/>
    <w:lvl w:ilvl="0" w:tplc="4C6064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CCA0395"/>
    <w:multiLevelType w:val="multilevel"/>
    <w:tmpl w:val="9D147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033"/>
    <w:rsid w:val="00086B7A"/>
    <w:rsid w:val="00106559"/>
    <w:rsid w:val="00107AE4"/>
    <w:rsid w:val="003D1242"/>
    <w:rsid w:val="004E531D"/>
    <w:rsid w:val="00560CF7"/>
    <w:rsid w:val="005A3FCF"/>
    <w:rsid w:val="00611D07"/>
    <w:rsid w:val="007403B0"/>
    <w:rsid w:val="008D2BBE"/>
    <w:rsid w:val="00A44400"/>
    <w:rsid w:val="00B06A68"/>
    <w:rsid w:val="00BF4E11"/>
    <w:rsid w:val="00CB39AF"/>
    <w:rsid w:val="00DF39FE"/>
    <w:rsid w:val="00E16D20"/>
    <w:rsid w:val="00E46A22"/>
    <w:rsid w:val="00EB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03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EB3033"/>
    <w:pPr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E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3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560CF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0CF7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560CF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6"/>
    <w:uiPriority w:val="99"/>
    <w:semiHidden/>
    <w:unhideWhenUsed/>
    <w:rsid w:val="0056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560CF7"/>
  </w:style>
  <w:style w:type="character" w:customStyle="1" w:styleId="HTML">
    <w:name w:val="Стандартный HTML Знак"/>
    <w:basedOn w:val="a0"/>
    <w:link w:val="HTML0"/>
    <w:rsid w:val="00560CF7"/>
    <w:rPr>
      <w:rFonts w:ascii="Courier New" w:eastAsia="Calibri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560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60CF7"/>
    <w:rPr>
      <w:rFonts w:ascii="Consolas" w:hAnsi="Consolas" w:cs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61/106" TargetMode="External"/><Relationship Id="rId13" Type="http://schemas.openxmlformats.org/officeDocument/2006/relationships/hyperlink" Target="consultantplus://offline/ref=DFF33CB7AA9D36D0AB02925D9DDE0259336C47831E4758ACFB505F0B7E6CB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A5CEE2CACCD5B0776EF9A08841CC5CFA3CB1E6C13578AE02DAFC229EEE027B2ED75788A3199186b4E2G" TargetMode="External"/><Relationship Id="rId12" Type="http://schemas.openxmlformats.org/officeDocument/2006/relationships/hyperlink" Target="consultantplus://offline/ref=DFF33CB7AA9D36D0AB02925D9DDE0259336F4786124058ACFB505F0B7ECE668C00F2047EB560B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ka_barum@mail.ru" TargetMode="External"/><Relationship Id="rId11" Type="http://schemas.openxmlformats.org/officeDocument/2006/relationships/hyperlink" Target="consultantplus://offline/ref=DFF33CB7AA9D36D0AB02925D9DDE0259336F47871E4258ACFB505F0B7ECE668C00F2047EB00753E460B1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F33CB7AA9D36D0AB02925D9DDE0259336F4786124058ACFB505F0B7ECE668C00F2047EB060B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F33CB7AA9D36D0AB02925D9DDE0259336F4786124058ACFB505F0B7ECE668C00F204766BB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4875</Words>
  <Characters>27792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Baikara</cp:lastModifiedBy>
  <cp:revision>4</cp:revision>
  <cp:lastPrinted>2016-08-03T08:59:00Z</cp:lastPrinted>
  <dcterms:created xsi:type="dcterms:W3CDTF">2016-08-03T09:00:00Z</dcterms:created>
  <dcterms:modified xsi:type="dcterms:W3CDTF">2017-11-24T10:13:00Z</dcterms:modified>
</cp:coreProperties>
</file>